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THESE ARE THE THINGS YOU SHOULD TEACH</w:t>
      </w:r>
    </w:p>
    <w:p w:rsidR="00000000" w:rsidDel="00000000" w:rsidP="00000000" w:rsidRDefault="00000000" w:rsidRPr="00000000">
      <w:pPr>
        <w:contextualSpacing w:val="0"/>
        <w:jc w:val="center"/>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Titus 2:1-13</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2:15</w:t>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“These, then, are the things you should teach. Encourage and rebuke with all authority. Do not let anyone despise you.”</w:t>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1.       Read verses 1-5. What did Paul exhort Titus to teach? (1) What should Titus teach older men in regard to how to they should conduct themselves? (2) What should he teach the older women? (3) What should be taught to the younger women? (5)</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2.       Read verses 6-10. What is the advice for young men? (6). How should Titus set an example as a leader? (7, 8) What are the instructions for slaves? (9, 10)</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3.       Read verses 11-15. To whom does the grace of God offer salvation? (11) What kind of life should we live as the ones who received the grace of God? (12) What is the blessed hope we wait for? (13) Why did Jesus give himself to us? (14) What should Titus do even though he was a young leader?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