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To Do God’s Will</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John 7:14-24</w:t>
          <w:br w:type="textWrapping"/>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Key Verse 17: “</w:t>
      </w:r>
      <w:r w:rsidDel="00000000" w:rsidR="00000000" w:rsidRPr="00000000">
        <w:rPr>
          <w:rtl w:val="0"/>
        </w:rPr>
        <w:t xml:space="preserve">If anyone's will is to do God's will, he will know whether the teaching is from God or whether I am speaking on my own authority.</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Look at verse 14. When did Jesus go up to the Feast of Booths? Why do you think he waited until the middle of the Feast to go up and teach in the temple?</w:t>
        <w:br w:type="textWrapping"/>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V.15-18. How did the Jews react to Jesus’ teaching?(15) Where did they think spiritual teachings came from? Where did Jesus say that his teachings came from?(16) How can we know whether a teaching is from God?(17-18) How can we acquire learning and teach like Jesus?</w:t>
        <w:br w:type="textWrapping"/>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V.19-23. What two things did Jesus accuse the Jews of in V.19? Why were the Jews seeking to kill Jesus? What work did Jesus perform on the Sabbath?(</w:t>
      </w:r>
      <w:hyperlink r:id="rId7">
        <w:r w:rsidDel="00000000" w:rsidR="00000000" w:rsidRPr="00000000">
          <w:rPr>
            <w:color w:val="1155cc"/>
            <w:u w:val="single"/>
            <w:rtl w:val="0"/>
          </w:rPr>
          <w:t xml:space="preserve">John 5:8-9,16</w:t>
        </w:r>
      </w:hyperlink>
      <w:r w:rsidDel="00000000" w:rsidR="00000000" w:rsidRPr="00000000">
        <w:rPr>
          <w:rtl w:val="0"/>
        </w:rPr>
        <w:t xml:space="preserve">) What point does Jesus make about the Sabbath and the law of Moses?</w:t>
        <w:br w:type="textWrapping"/>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V24. How can one judge with right judgement?</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did you learn from today’s passage or what stuck out to you?</w:t>
      </w:r>
      <w:r w:rsidDel="00000000" w:rsidR="00000000" w:rsidRPr="00000000">
        <w:rPr>
          <w:rtl w:val="0"/>
        </w:rPr>
      </w:r>
    </w:p>
    <w:sectPr>
      <w:headerReference r:id="rId8" w:type="default"/>
      <w:foot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John%207%3A14-24&amp;version=ESV" TargetMode="External"/><Relationship Id="rId7" Type="http://schemas.openxmlformats.org/officeDocument/2006/relationships/hyperlink" Target="https://www.biblegateway.com/passage/?search=John%205%3A8-9%2C16&amp;version=ES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