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That You May Become Sons Of Light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John 12:27-36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Key Verse 36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“</w:t>
      </w:r>
      <w:r w:rsidDel="00000000" w:rsidR="00000000" w:rsidRPr="00000000">
        <w:rPr>
          <w:rtl w:val="0"/>
        </w:rPr>
        <w:t xml:space="preserve">While you have the light, believe in the light, that you may become sons of light.”</w:t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Look at verses 27</w:t>
      </w:r>
      <w:r w:rsidDel="00000000" w:rsidR="00000000" w:rsidRPr="00000000">
        <w:rPr>
          <w:rtl w:val="0"/>
        </w:rPr>
        <w:t xml:space="preserve">. Why was Jesus’ soul troubled?(32-33) What did Jesus understand about his purpose, and why didn’t he ask to be saved from his trouble?</w:t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Application: Why is it important to know God’s will and purpose for our lives, especially when we encounter trouble?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V28-30. What does it mean for the Father to glorify his name? When did the Father glorify his name previously, and how was he going to glorify it again?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V31-33. How will Jesus’ death on the cross impact the world? Jesus said</w:t>
      </w:r>
      <w:r w:rsidDel="00000000" w:rsidR="00000000" w:rsidRPr="00000000">
        <w:rPr>
          <w:rtl w:val="0"/>
        </w:rPr>
        <w:t xml:space="preserve"> “the ruler of this world will be cast out”, who is the current ruler of the world? When will he be cast out? Who will be our new king?(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John 12:12-19</w:t>
        </w:r>
      </w:hyperlink>
      <w:r w:rsidDel="00000000" w:rsidR="00000000" w:rsidRPr="00000000">
        <w:rPr>
          <w:rtl w:val="0"/>
        </w:rPr>
        <w:t xml:space="preserve">) How will this change things? Knowing this, what should we do?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V34-36. What did the crowd misunderstand about the Christ?(34) In what way were they correct? How do we become sons/daughters of light?(36) What does it mean to believe in the light and be a son/daughter of light?(35-36)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John%2012%3A27-36%20&amp;version=ESV" TargetMode="External"/><Relationship Id="rId7" Type="http://schemas.openxmlformats.org/officeDocument/2006/relationships/hyperlink" Target="https://www.biblegateway.com/passage/?search=John%2012%3A12-19&amp;version=ES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