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sz w:val="24"/>
          <w:szCs w:val="24"/>
        </w:rPr>
      </w:pPr>
      <w:r w:rsidDel="00000000" w:rsidR="00000000" w:rsidRPr="00000000">
        <w:rPr>
          <w:sz w:val="24"/>
          <w:szCs w:val="24"/>
          <w:rtl w:val="0"/>
        </w:rPr>
        <w:t xml:space="preserve">So That You May Believe</w:t>
        <w:br w:type="textWrapping"/>
      </w:r>
    </w:p>
    <w:p w:rsidR="00000000" w:rsidDel="00000000" w:rsidP="00000000" w:rsidRDefault="00000000" w:rsidRPr="00000000" w14:paraId="00000002">
      <w:pPr>
        <w:spacing w:line="240" w:lineRule="auto"/>
        <w:rPr/>
      </w:pPr>
      <w:hyperlink r:id="rId6">
        <w:r w:rsidDel="00000000" w:rsidR="00000000" w:rsidRPr="00000000">
          <w:rPr>
            <w:color w:val="1155cc"/>
            <w:u w:val="single"/>
            <w:rtl w:val="0"/>
          </w:rPr>
          <w:t xml:space="preserve">John 11:01-16 </w:t>
        </w:r>
      </w:hyperlink>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Key Verse 15: “and for your sake I am glad that I was not there, so that you may believe. But let us go to him.”</w:t>
      </w:r>
    </w:p>
    <w:p w:rsidR="00000000" w:rsidDel="00000000" w:rsidP="00000000" w:rsidRDefault="00000000" w:rsidRPr="00000000" w14:paraId="00000004">
      <w:pPr>
        <w:spacing w:line="276" w:lineRule="auto"/>
        <w:ind w:left="0" w:firstLine="0"/>
        <w:rPr/>
      </w:pP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V1-3. Who was Lazarus? What was wrong with him? What did his sisters do? How did they refer to Lazarus in their message to Jesus?(3) Why should we use this same familiarity when we pray to Jesus?</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V4-6. What did Jesus say about Lazarus’s illness?(4) What does this reveal about how trouble in our lives can have a greater purpose? Why did Jesus stay two days longer where he was instead of going to Lazarus immediately?(4&amp;5) What can we learn from this?</w:t>
      </w:r>
    </w:p>
    <w:p w:rsidR="00000000" w:rsidDel="00000000" w:rsidP="00000000" w:rsidRDefault="00000000" w:rsidRPr="00000000" w14:paraId="00000009">
      <w:pPr>
        <w:spacing w:line="276" w:lineRule="auto"/>
        <w:ind w:left="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V7-10. Jesus wanted to go back to Judea, why did the disciples question him?(8) What does Jesus’ answer reveal about the works Jesus was doing?(9-10 &amp; </w:t>
      </w:r>
      <w:hyperlink r:id="rId7">
        <w:r w:rsidDel="00000000" w:rsidR="00000000" w:rsidRPr="00000000">
          <w:rPr>
            <w:color w:val="1155cc"/>
            <w:u w:val="single"/>
            <w:rtl w:val="0"/>
          </w:rPr>
          <w:t xml:space="preserve">John 9:4-5</w:t>
        </w:r>
      </w:hyperlink>
      <w:r w:rsidDel="00000000" w:rsidR="00000000" w:rsidRPr="00000000">
        <w:rPr>
          <w:rtl w:val="0"/>
        </w:rPr>
        <w:t xml:space="preserve">)</w:t>
      </w:r>
    </w:p>
    <w:p w:rsidR="00000000" w:rsidDel="00000000" w:rsidP="00000000" w:rsidRDefault="00000000" w:rsidRPr="00000000" w14:paraId="0000000B">
      <w:pPr>
        <w:spacing w:line="276"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pPr>
      <w:r w:rsidDel="00000000" w:rsidR="00000000" w:rsidRPr="00000000">
        <w:rPr>
          <w:rtl w:val="0"/>
        </w:rPr>
        <w:t xml:space="preserve">V11-16. What did Jesus say he was going to do for Lazarus?(11) Why was Jesus glad that he was not there to heal Lazarus before he died?(14-15) What can this teach us about waiting and endurance? How can this example with Lazarus help us to see the bigger picture of what Jesus is doing in our lives and the lives of those around us?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hyperlink r:id="rId8">
        <w:r w:rsidDel="00000000" w:rsidR="00000000" w:rsidRPr="00000000">
          <w:rPr>
            <w:color w:val="1155cc"/>
            <w:u w:val="single"/>
            <w:rtl w:val="0"/>
          </w:rPr>
          <w:t xml:space="preserve">John 9:4-5</w:t>
        </w:r>
      </w:hyperlink>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4</w:t>
      </w:r>
      <w:r w:rsidDel="00000000" w:rsidR="00000000" w:rsidRPr="00000000">
        <w:rPr>
          <w:rtl w:val="0"/>
        </w:rPr>
        <w:t xml:space="preserve"> </w:t>
      </w:r>
      <w:r w:rsidDel="00000000" w:rsidR="00000000" w:rsidRPr="00000000">
        <w:rPr>
          <w:rtl w:val="0"/>
        </w:rPr>
        <w:t xml:space="preserve">We must work the works of him who sent me while it is day; night is coming, when no one can work.</w:t>
      </w:r>
      <w:r w:rsidDel="00000000" w:rsidR="00000000" w:rsidRPr="00000000">
        <w:rPr>
          <w:rtl w:val="0"/>
        </w:rPr>
        <w:t xml:space="preserve"> </w:t>
      </w:r>
      <w:r w:rsidDel="00000000" w:rsidR="00000000" w:rsidRPr="00000000">
        <w:rPr>
          <w:b w:val="1"/>
          <w:rtl w:val="0"/>
        </w:rPr>
        <w:t xml:space="preserve">5</w:t>
      </w:r>
      <w:r w:rsidDel="00000000" w:rsidR="00000000" w:rsidRPr="00000000">
        <w:rPr>
          <w:rtl w:val="0"/>
        </w:rPr>
        <w:t xml:space="preserve"> </w:t>
      </w:r>
      <w:r w:rsidDel="00000000" w:rsidR="00000000" w:rsidRPr="00000000">
        <w:rPr>
          <w:rtl w:val="0"/>
        </w:rPr>
        <w:t xml:space="preserve">As long as I am in the world, I am the light of the world.”</w:t>
      </w:r>
      <w:r w:rsidDel="00000000" w:rsidR="00000000" w:rsidRPr="00000000">
        <w:rPr>
          <w:rtl w:val="0"/>
        </w:rPr>
      </w:r>
    </w:p>
    <w:sectPr>
      <w:headerReference r:id="rId9" w:type="default"/>
      <w:footerReference r:id="rId10"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blegateway.com/passage/?search=john%2011%3A1-16&amp;version=ESV" TargetMode="External"/><Relationship Id="rId7" Type="http://schemas.openxmlformats.org/officeDocument/2006/relationships/hyperlink" Target="https://www.biblegateway.com/passage/?search=john%209%3A4-5&amp;version=ESV" TargetMode="External"/><Relationship Id="rId8" Type="http://schemas.openxmlformats.org/officeDocument/2006/relationships/hyperlink" Target="https://www.biblegateway.com/passage/?search=john%209%3A4-5&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