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 FAITH AND HIS ACTION WORK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James 1:19-2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26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Key Verse 2: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center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“You see that his faith and his actions were working together, and his faith was made complete by what he did.”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verses 1:19-27. What does James ask us to do in order to accept the word humbly? (19-21) Why is it important for us to practice what we hear? (22-25) Why should we keep a tight reign on our tongue? (26) What is true religion? (27)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  Read verses 2:1-13.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How do people show favoritism? (1-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does God promise to those who are rich in faith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to those who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love him? (5)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might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the rich harm </w:t>
      </w:r>
      <w:r w:rsidDel="00000000" w:rsidR="00000000" w:rsidRPr="00000000">
        <w:rPr>
          <w:rFonts w:ascii="Arial" w:cs="Arial" w:eastAsia="Arial" w:hAnsi="Arial"/>
          <w:rtl w:val="0"/>
        </w:rPr>
        <w:t xml:space="preserve">us?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can we do right?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(8</w:t>
      </w:r>
      <w:r w:rsidDel="00000000" w:rsidR="00000000" w:rsidRPr="00000000">
        <w:rPr>
          <w:rFonts w:ascii="Arial" w:cs="Arial" w:eastAsia="Arial" w:hAnsi="Arial"/>
          <w:rtl w:val="0"/>
        </w:rPr>
        <w:t xml:space="preserve">-11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rtl w:val="0"/>
        </w:rPr>
        <w:t xml:space="preserve">Why is it important to be merciful? (12-13)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Read verses 14-26. W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hat kind of faith </w:t>
      </w:r>
      <w:r w:rsidDel="00000000" w:rsidR="00000000" w:rsidRPr="00000000">
        <w:rPr>
          <w:rFonts w:ascii="Arial" w:cs="Arial" w:eastAsia="Arial" w:hAnsi="Arial"/>
          <w:rtl w:val="0"/>
        </w:rPr>
        <w:t xml:space="preserve">should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have? (14-1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Why is one’s faith dead if not accompanied by action? (17-19)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Abraham a good example of faith in action? (20-24)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made Rahab righteous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(25) What</w:t>
      </w:r>
      <w:r w:rsidDel="00000000" w:rsidR="00000000" w:rsidRPr="00000000">
        <w:rPr>
          <w:rFonts w:ascii="Arial" w:cs="Arial" w:eastAsia="Arial" w:hAnsi="Arial"/>
          <w:rtl w:val="0"/>
        </w:rPr>
        <w:t xml:space="preserve"> is James’ conclusion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(26)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mallCaps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