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Looking Ahead to His Reward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Hebrews 11:23-31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Key verse 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“He regarded disgrace for the sake of Christ as of greater value than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the treasures of Egypt, because he was looking ahead to his reward.”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verses 23-26. How did Moses’ parents display their faith? (23) What does Moses’ refusal to be known as the son of Pharaoh’s daughter mean? (24) What kind of life did he choose to live by faith? (25) What prompted Moses to make such a decision? (26)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verses 27-29. What enabled Moses to leave Egypt along with his people? (27) What was the significance of keeping the Passover? (28) When passing through the red sea, what happened to the Israelites in contrast to the Egyptians? (29) How can we apply this to our own lives?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verses 30-31. How did the army destroy the walls of Jericho? (30a; Jos 6:12-20) How can we apply this to our life of faith? (30b) How is Rahab’s faith marked? (31; Jos 2:1, 9-14; 6:22-25; Mt 1:5)</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