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BECAUSE YOU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ARE HIS 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Galatians 4:1-7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Key Verse: 4:6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Because you are sons, God sent the Spirit of his Son into our hearts, the Spirit who calls out, "Abba, Father."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1-3.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What analogy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 Paul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use to help the Galatians? (1-2, 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:23-25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How did 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this analogy to describe our lives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before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believed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 Jesus? (3,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 2:20-23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In what sense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were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we in slavery to the element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spiritual forces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Read verses 4-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When and how did Jesus come? (4) Why did God send him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be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born of a woman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 “born under law”?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benefit did this give to those under the law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(5)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Read verses 6-7.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came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hearts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when we were adopted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sonship? (6a)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happens 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relationship with God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(6b,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 8:15-16) How is our identity changed? (7, 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8:17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