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Turn And Become Like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18:01-06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/>
      </w:pPr>
      <w:r w:rsidDel="00000000" w:rsidR="00000000" w:rsidRPr="00000000">
        <w:rPr>
          <w:rtl w:val="0"/>
        </w:rPr>
        <w:t xml:space="preserve">Key Verse 03: “</w:t>
      </w:r>
      <w:r w:rsidDel="00000000" w:rsidR="00000000" w:rsidRPr="00000000">
        <w:rPr>
          <w:rtl w:val="0"/>
        </w:rPr>
        <w:t xml:space="preserve">and said, “Truly, I say to you, unless you turn and become like children, you will never enter the kingdom of heaven.</w:t>
      </w:r>
    </w:p>
    <w:p w:rsidR="00000000" w:rsidDel="00000000" w:rsidP="00000000" w:rsidRDefault="00000000" w:rsidRPr="00000000" w14:paraId="00000004">
      <w:pPr>
        <w:spacing w:after="240" w:before="8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question did the disciples ask Jesus? Why might they have asked this question?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How did Jesus answer their question? What does it mean to “turn and become like children”?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Why do you think someone will “never enter the kingdom of heaven” if they don’t “become like children”?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V4. Consider the kingdom of heaven. Why do you think Jesus correlates being humble like a child with greatness in the kingdom of heaven?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V5. What do you think it means to receive a child? Why might this be difficult?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V6. What do you think it means to “cause one of these little ones who believe in me to sin”?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Why might the punishment for causing a little one to sin be so extreme?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Why does Jesus use such a vivid description of punishment for those who cause little ones to sin?</w:t>
      </w:r>
      <w:r w:rsidDel="00000000" w:rsidR="00000000" w:rsidRPr="00000000">
        <w:rPr>
          <w:rtl w:val="0"/>
        </w:rPr>
      </w:r>
    </w:p>
    <w:sectPr>
      <w:pgSz w:h="2016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18%3A1-6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